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rPr>
          <w:rFonts w:ascii="仿宋" w:hAnsi="仿宋" w:eastAsia="仿宋" w:cs="仿宋"/>
          <w:color w:val="2A2F35"/>
          <w:spacing w:val="-5"/>
          <w:sz w:val="31"/>
          <w:szCs w:val="31"/>
        </w:rPr>
      </w:pPr>
      <w:r>
        <w:rPr>
          <w:rFonts w:ascii="仿宋" w:hAnsi="仿宋" w:eastAsia="仿宋" w:cs="仿宋"/>
          <w:color w:val="2A2F35"/>
          <w:spacing w:val="-7"/>
          <w:sz w:val="31"/>
          <w:szCs w:val="31"/>
        </w:rPr>
        <w:t>附</w:t>
      </w:r>
      <w:r>
        <w:rPr>
          <w:rFonts w:ascii="仿宋" w:hAnsi="仿宋" w:eastAsia="仿宋" w:cs="仿宋"/>
          <w:color w:val="2A2F35"/>
          <w:spacing w:val="-5"/>
          <w:sz w:val="31"/>
          <w:szCs w:val="31"/>
        </w:rPr>
        <w:t>件</w:t>
      </w:r>
      <w:r>
        <w:rPr>
          <w:rFonts w:hint="eastAsia" w:ascii="仿宋" w:hAnsi="仿宋" w:cs="仿宋"/>
          <w:color w:val="2A2F35"/>
          <w:spacing w:val="-5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color w:val="2A2F35"/>
          <w:spacing w:val="-5"/>
          <w:sz w:val="31"/>
          <w:szCs w:val="31"/>
        </w:rPr>
        <w:t>：</w:t>
      </w:r>
    </w:p>
    <w:p>
      <w:pPr>
        <w:spacing w:before="64" w:line="228" w:lineRule="auto"/>
        <w:rPr>
          <w:rFonts w:ascii="仿宋" w:hAnsi="仿宋" w:eastAsia="仿宋" w:cs="仿宋"/>
          <w:color w:val="2A2F35"/>
          <w:spacing w:val="-5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40"/>
          <w:szCs w:val="40"/>
          <w:lang w:val="en-US" w:eastAsia="zh-CN"/>
        </w:rPr>
        <w:t>2024年暑期疗休养行程安排（省内）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填报单位：浙江省中国旅行社集团有限公司 </w:t>
      </w:r>
      <w:r>
        <w:rPr>
          <w:rFonts w:hint="eastAsia" w:ascii="仿宋" w:hAnsi="仿宋" w:eastAsia="仿宋" w:cs="仿宋"/>
          <w:i w:val="0"/>
          <w:iCs w:val="0"/>
          <w:caps w:val="0"/>
          <w:color w:val="2A2F35"/>
          <w:spacing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                      </w:t>
      </w:r>
    </w:p>
    <w:p>
      <w:pPr>
        <w:spacing w:line="63" w:lineRule="auto"/>
        <w:rPr>
          <w:rFonts w:ascii="Arial"/>
          <w:sz w:val="2"/>
        </w:rPr>
      </w:pPr>
    </w:p>
    <w:tbl>
      <w:tblPr>
        <w:tblStyle w:val="6"/>
        <w:tblpPr w:leftFromText="180" w:rightFromText="180" w:vertAnchor="text" w:horzAnchor="page" w:tblpX="1811" w:tblpY="108"/>
        <w:tblOverlap w:val="never"/>
        <w:tblW w:w="838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53"/>
        <w:gridCol w:w="1068"/>
        <w:gridCol w:w="2022"/>
        <w:gridCol w:w="1707"/>
        <w:gridCol w:w="1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嵊泗 5 日疗养（余房：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双标间）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15-19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22-26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2 日 (周一→周五)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07.08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学校→嵊泗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和尚套景区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嵊泗久久大酒店 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07.09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鱼雷洞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渔家乐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酒店休养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嵊泗久久大酒店 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07.10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酒店休养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基湖沙滩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嵊泗久久大酒店 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07.11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左岸公路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酒店休养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嵊泗久久大酒店 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07.12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酒店修养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嵊泗-学校</w:t>
            </w:r>
          </w:p>
        </w:tc>
        <w:tc>
          <w:tcPr>
            <w:tcW w:w="1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 疗休养内容要求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838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 26 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 动 (各类教育基地、博物馆、纪念馆、文化空间等) 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 团队负责人要提前了解疗休养目的地与学校开展合作帮扶情况，在疗休养行程中安排一 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 点数量不多于 4 个 (不包括循迹溯源活动) 。</w:t>
            </w:r>
          </w:p>
        </w:tc>
      </w:tr>
    </w:tbl>
    <w:p/>
    <w:p/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tabs>
          <w:tab w:val="left" w:pos="5401"/>
        </w:tabs>
        <w:bidi w:val="0"/>
        <w:jc w:val="left"/>
        <w:rPr>
          <w:lang w:val="en-US" w:eastAsia="zh-CN"/>
        </w:rPr>
        <w:sectPr>
          <w:pgSz w:w="11906" w:h="16839"/>
          <w:pgMar w:top="1270" w:right="1741" w:bottom="0" w:left="1772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填报单位：浙江省中国旅行社集团有限公司 </w:t>
      </w:r>
    </w:p>
    <w:tbl>
      <w:tblPr>
        <w:tblStyle w:val="6"/>
        <w:tblW w:w="83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53"/>
        <w:gridCol w:w="1068"/>
        <w:gridCol w:w="2022"/>
        <w:gridCol w:w="1666"/>
        <w:gridCol w:w="1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省内：舟山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普陀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5 日疗养（余房：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0双标间）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15-19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22-26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2 日 (周一→周五)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07.08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学校→舟山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南沙景区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舟山海中洲国际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大酒店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07.09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白山景区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酒店休养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舟山海中洲国际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大酒店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07.10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乌石塘景区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酒店休养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舟山海中洲国际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大酒店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07.11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大青山景区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酒店休养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舟山海中洲国际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大酒店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07.12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舟山博物馆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舟山-学校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 疗休养内容要求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838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 26 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 动 (各类教育基地、博物馆、纪念馆、文化空间等) 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 团队负责人要提前了解疗休养目的地与学校开展合作帮扶情况，在疗休养行程中安排一 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 点数量不多于 4 个 (不包括循迹溯源活动) 。</w:t>
            </w:r>
          </w:p>
        </w:tc>
      </w:tr>
    </w:tbl>
    <w:p>
      <w:pPr>
        <w:tabs>
          <w:tab w:val="left" w:pos="5401"/>
        </w:tabs>
        <w:bidi w:val="0"/>
        <w:jc w:val="left"/>
        <w:rPr>
          <w:lang w:val="en-US" w:eastAsia="zh-CN"/>
        </w:rPr>
        <w:sectPr>
          <w:pgSz w:w="11906" w:h="16839"/>
          <w:pgMar w:top="1270" w:right="1741" w:bottom="0" w:left="1772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填报单位：杭州海外旅游有限公司    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54"/>
        <w:gridCol w:w="1069"/>
        <w:gridCol w:w="2023"/>
        <w:gridCol w:w="171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省内：千岛湖（余房：23双标间）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15-19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22-26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2 日 (周一→周五)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07.29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学校→目的地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梦姑塘文化公园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游泳、健身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蓝城.千岛湖郡安忆度假村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07.30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淳安博物馆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骑龙巷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蓝城.千岛湖郡安忆度假村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07.31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白云溪漂流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蓝城.千岛湖郡安忆度假村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08.01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自由活动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自由活动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蓝城.千岛湖郡安忆度假村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08.02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睡到自然醒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4.坚持疗休养服务教工身心健康的初衷，严格控制景点参观数量，每个疗休养团队参观景点数量不多于4个（不包括循迹溯源活动）。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填报单位：杭州海外旅游有限公司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                       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00"/>
        <w:gridCol w:w="999"/>
        <w:gridCol w:w="1899"/>
        <w:gridCol w:w="194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温州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泰顺（余房：30双标间）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15-19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22-26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2 日 (周一→周五)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07.29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学校→目的地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泗溪姐妹桥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游泳、健身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泰顺亿联开元名都大酒店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07.30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云岚牧场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泰顺亿联开元名都大酒店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07.31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南浦溪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泰顺亿联开元名都大酒店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08.01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泰顺采茶舞曲纪念馆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泰顺亿联开元名都大酒店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08.02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库存古村落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4.坚持疗休养服务教工身心健康的初衷，严格控制景点参观数量，每个疗休养团队参观景点数量不多于4个（不包括循迹溯源活动）。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填报单位：杭州海外旅游有限公司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54"/>
        <w:gridCol w:w="1069"/>
        <w:gridCol w:w="2023"/>
        <w:gridCol w:w="2023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丽水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景宁（余房：50间）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15-19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22-26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2 日 (周一→周五)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07.29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学校→目的地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古堰画乡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景宁畲乡鸿宾大酒店（职工一人一间）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07.30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畲乡东弄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休息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景宁畲乡鸿宾大酒店（职工一人一间）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07.17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07.24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07.31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景宁畲族博物馆+畲族趣味团建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休息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景宁畲乡鸿宾大酒店（职工一人一间）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08.01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畲乡之窗婚嫁表演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休息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畲乡情未了篝火晚会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景宁畲乡鸿宾大酒店（职工一人一间）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08.02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睡到自然醒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返程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健康的初衷，严格控制景点参观数量，每个疗休养团队参观景点数量不多于4个（不包括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线路编号：6-1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填报单位：杭州海外旅游有限公司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00"/>
        <w:gridCol w:w="999"/>
        <w:gridCol w:w="1899"/>
        <w:gridCol w:w="1715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台州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天台（余房：20双标间）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7月15-19日（周一→周五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）余房：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7月29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-8月2日（周一→周五）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余房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:30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07.29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学校→目的地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琼台仙谷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石斛养生餐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天台温泉山庄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07.30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济公故居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天台温泉山庄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07.31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国清寺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天台温泉山庄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08.01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石梁飞瀑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天台温泉山庄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08.02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天台山博物馆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4.坚持疗休养服务教工身心健康的初衷，严格控制景点参观数量，每个疗休养团队参观景点数量不多于4个（不包括循迹溯源活动）。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线路编号：6-2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填报单位：杭州海外旅游有限公司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54"/>
        <w:gridCol w:w="1069"/>
        <w:gridCol w:w="2023"/>
        <w:gridCol w:w="2023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台州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仙居（余房：25双标间）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7月29-8月2日（周一→周五）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07.29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学校→目的地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皤滩古镇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宇杰君澜大饭店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永安溪漂流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宇杰君澜大饭店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神仙居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宇杰君澜大饭店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08.01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高迁古民居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宇杰君澜大饭店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08.02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仙居多样化生态博物馆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4.坚持疗休养服务教工身心健康的初衷，严格控制景点参观数量，每个疗休养团队参观景点数量不多于4个（不包括循迹溯源活动）。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210" w:right="0" w:hanging="240" w:hangingChars="100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填报单位：杭州海外旅游有限公司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00"/>
        <w:gridCol w:w="999"/>
        <w:gridCol w:w="1899"/>
        <w:gridCol w:w="194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衢州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开化（余房：30双标间）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15-19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22-26 日 (周一→周五)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08" w:leftChars="65" w:right="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2 日 (周一→周五)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07.29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学校→目的地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根宫佛国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开化清水鱼欢迎晚宴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开化东方文岚饭店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07.30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金溪桃韵户外茶歇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开化东方文岚饭店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07.31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钱江源大峡谷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开化东方文岚饭店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08.01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御玺贡茶园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开化东方文岚饭店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07.26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08.02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开化文化客厅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10" w:right="0" w:hanging="210" w:hanging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4.坚持疗休养服务教工身心健康的初衷，严格控制景点参观数量，每个疗休养团队参观景点数量不多于4个（不包括循迹溯源活动）。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40"/>
          <w:szCs w:val="40"/>
          <w:lang w:val="en-US" w:eastAsia="zh-CN"/>
        </w:rPr>
        <w:t>2024年暑期疗休养行程安排（省外）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线路编号：1-A方案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填报单位：杭州海外旅游有限公司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 xml:space="preserve">                   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10"/>
        <w:gridCol w:w="1002"/>
        <w:gridCol w:w="1892"/>
        <w:gridCol w:w="1575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08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省内：福建泉州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（余房：30双标间）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落地价：3000元（高铁票自理）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  <w:textAlignment w:val="auto"/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-2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（周一→周五）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7 月29 -8月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 (周一→周五)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07.8（8.19）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学校→目的地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泉州洛阳桥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泉州晋江佰翔世纪酒店或同级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07.9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（8.20）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开元寺、西街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泉州晋江佰翔世纪酒店或同级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（8.21）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崇武西沙湾、惠女民俗风情园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泉州晋江佰翔世纪酒店或同级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（8.22）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南少林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休息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泉州晋江佰翔世纪酒店或同级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（8.23）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泉州非物质文化遗产馆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餐标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早餐自助餐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午餐：80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晚餐：100</w:t>
            </w:r>
          </w:p>
        </w:tc>
        <w:tc>
          <w:tcPr>
            <w:tcW w:w="1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全程9正餐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8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2024疗休养内容要求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383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1.省内疗休养路线优先考虑：山区26县、海岛县；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2.强化政治引领，疗休养要与主题教育活动相结合，疗休养期间至少开展一次循迹溯源活动（各类教育基地、博物馆、纪念馆、文化空间等）；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团队负责人要提前了解疗休养目的地与学校开展合作帮扶情况，在疗休养行程中安排一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4.坚持疗休养服务教工身心健康的初衷，严格控制景点参观数量，每个疗休养团队参观景点数量不多于4个（不包括循迹溯源活动）。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线路编号：1-B方案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填报单位：浙江省中国旅行社集团有限公司</w:t>
      </w:r>
    </w:p>
    <w:tbl>
      <w:tblPr>
        <w:tblStyle w:val="6"/>
        <w:tblW w:w="838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53"/>
        <w:gridCol w:w="1068"/>
        <w:gridCol w:w="2022"/>
        <w:gridCol w:w="1666"/>
        <w:gridCol w:w="1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73" w:type="dxa"/>
            <w:gridSpan w:val="2"/>
            <w:vAlign w:val="top"/>
          </w:tcPr>
          <w:p>
            <w:pPr>
              <w:spacing w:before="226" w:line="228" w:lineRule="auto"/>
              <w:ind w:left="47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  <w14:textOutline w14:w="3795" w14:cap="sq" w14:cmpd="sng">
                  <w14:solidFill>
                    <w14:srgbClr w14:val="2A2F35"/>
                  </w14:solidFill>
                  <w14:prstDash w14:val="solid"/>
                  <w14:bevel/>
                </w14:textOutline>
              </w:rPr>
              <w:t>线路名</w:t>
            </w:r>
            <w:r>
              <w:rPr>
                <w:rFonts w:hint="eastAsia" w:ascii="仿宋" w:hAnsi="仿宋" w:eastAsia="仿宋" w:cs="仿宋"/>
                <w:color w:val="2A2F35"/>
                <w:spacing w:val="7"/>
                <w:sz w:val="21"/>
                <w:szCs w:val="21"/>
                <w14:textOutline w14:w="3795" w14:cap="sq" w14:cmpd="sng">
                  <w14:solidFill>
                    <w14:srgbClr w14:val="2A2F35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6614" w:type="dxa"/>
            <w:gridSpan w:val="4"/>
            <w:vAlign w:val="top"/>
          </w:tcPr>
          <w:p>
            <w:pPr>
              <w:spacing w:before="226" w:line="228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A2F35"/>
                <w:spacing w:val="4"/>
                <w:sz w:val="21"/>
                <w:szCs w:val="21"/>
              </w:rPr>
              <w:t>省外：莆田泉州 5 日疗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养</w:t>
            </w:r>
            <w:r>
              <w:rPr>
                <w:rFonts w:hint="eastAsia" w:ascii="仿宋" w:hAnsi="仿宋" w:cs="仿宋"/>
                <w:color w:val="2A2F35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2A2F35"/>
                <w:spacing w:val="2"/>
                <w:sz w:val="21"/>
                <w:szCs w:val="21"/>
                <w:lang w:val="en-US" w:eastAsia="zh-CN"/>
              </w:rPr>
              <w:t>余房：20双标间</w:t>
            </w:r>
            <w:r>
              <w:rPr>
                <w:rFonts w:hint="eastAsia" w:ascii="仿宋" w:hAnsi="仿宋" w:cs="仿宋"/>
                <w:color w:val="2A2F35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73" w:type="dxa"/>
            <w:gridSpan w:val="2"/>
            <w:vAlign w:val="top"/>
          </w:tcPr>
          <w:p>
            <w:pPr>
              <w:spacing w:before="304" w:line="228" w:lineRule="auto"/>
              <w:ind w:left="258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1"/>
                <w:szCs w:val="21"/>
                <w14:textOutline w14:w="3795" w14:cap="sq" w14:cmpd="sng">
                  <w14:solidFill>
                    <w14:srgbClr w14:val="2A2F35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疗</w:t>
            </w:r>
            <w:r>
              <w:rPr>
                <w:rFonts w:hint="eastAsia" w:ascii="仿宋" w:hAnsi="仿宋" w:eastAsia="仿宋" w:cs="仿宋"/>
                <w:color w:val="000000" w:themeColor="text1"/>
                <w:spacing w:val="9"/>
                <w:sz w:val="21"/>
                <w:szCs w:val="21"/>
                <w14:textOutline w14:w="3795" w14:cap="sq" w14:cmpd="sng">
                  <w14:solidFill>
                    <w14:srgbClr w14:val="2A2F35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休养时间段</w:t>
            </w:r>
          </w:p>
        </w:tc>
        <w:tc>
          <w:tcPr>
            <w:tcW w:w="6614" w:type="dxa"/>
            <w:gridSpan w:val="4"/>
            <w:vAlign w:val="top"/>
          </w:tcPr>
          <w:p>
            <w:pPr>
              <w:spacing w:before="31" w:line="228" w:lineRule="auto"/>
              <w:ind w:left="5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第一批：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024 年 7 月 </w:t>
            </w:r>
            <w:r>
              <w:rPr>
                <w:rFonts w:hint="eastAsia" w:ascii="仿宋" w:hAnsi="仿宋" w:cs="仿宋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cs="仿宋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(周一→周五)</w:t>
            </w:r>
          </w:p>
          <w:p>
            <w:pPr>
              <w:spacing w:before="26" w:line="228" w:lineRule="auto"/>
              <w:ind w:left="5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第二批：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024 年 7 月 22-26 日 (周一→周五)</w:t>
            </w:r>
          </w:p>
          <w:p>
            <w:pPr>
              <w:spacing w:before="24" w:line="227" w:lineRule="auto"/>
              <w:ind w:left="5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第三批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 年 7 月 29 日-8 月 2 日 (周一→周五)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387" w:type="dxa"/>
            <w:gridSpan w:val="6"/>
            <w:shd w:val="clear" w:color="auto" w:fill="D7D7D7"/>
            <w:vAlign w:val="top"/>
          </w:tcPr>
          <w:p>
            <w:pPr>
              <w:spacing w:before="71" w:line="189" w:lineRule="auto"/>
              <w:ind w:left="346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疗休养日程安排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20" w:type="dxa"/>
            <w:vAlign w:val="center"/>
          </w:tcPr>
          <w:p>
            <w:pPr>
              <w:spacing w:before="180" w:line="229" w:lineRule="auto"/>
              <w:ind w:left="24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-14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color w:val="2A2F35"/>
                <w:spacing w:val="-13"/>
                <w:sz w:val="21"/>
                <w:szCs w:val="21"/>
              </w:rPr>
              <w:t>期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before="180" w:line="229" w:lineRule="auto"/>
              <w:ind w:left="80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4"/>
                <w:sz w:val="21"/>
                <w:szCs w:val="21"/>
              </w:rPr>
              <w:t>上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午</w:t>
            </w:r>
          </w:p>
        </w:tc>
        <w:tc>
          <w:tcPr>
            <w:tcW w:w="2022" w:type="dxa"/>
            <w:vAlign w:val="center"/>
          </w:tcPr>
          <w:p>
            <w:pPr>
              <w:spacing w:before="180" w:line="229" w:lineRule="auto"/>
              <w:ind w:left="81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下</w:t>
            </w:r>
            <w:r>
              <w:rPr>
                <w:rFonts w:hint="eastAsia" w:ascii="仿宋" w:hAnsi="仿宋" w:eastAsia="仿宋" w:cs="仿宋"/>
                <w:color w:val="2A2F35"/>
                <w:spacing w:val="1"/>
                <w:sz w:val="21"/>
                <w:szCs w:val="21"/>
              </w:rPr>
              <w:t>午</w:t>
            </w:r>
          </w:p>
        </w:tc>
        <w:tc>
          <w:tcPr>
            <w:tcW w:w="1666" w:type="dxa"/>
            <w:vAlign w:val="center"/>
          </w:tcPr>
          <w:p>
            <w:pPr>
              <w:spacing w:before="180" w:line="229" w:lineRule="auto"/>
              <w:ind w:left="64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-1"/>
                <w:sz w:val="21"/>
                <w:szCs w:val="21"/>
              </w:rPr>
              <w:t>晚上</w:t>
            </w:r>
          </w:p>
        </w:tc>
        <w:tc>
          <w:tcPr>
            <w:tcW w:w="1858" w:type="dxa"/>
            <w:vAlign w:val="center"/>
          </w:tcPr>
          <w:p>
            <w:pPr>
              <w:spacing w:before="180" w:line="230" w:lineRule="auto"/>
              <w:ind w:left="72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4"/>
                <w:sz w:val="21"/>
                <w:szCs w:val="21"/>
              </w:rPr>
              <w:t>备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before="65" w:line="19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07.0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8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before="65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7"/>
                <w:sz w:val="21"/>
                <w:szCs w:val="21"/>
              </w:rPr>
              <w:t>学校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→莆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田</w:t>
            </w:r>
          </w:p>
        </w:tc>
        <w:tc>
          <w:tcPr>
            <w:tcW w:w="2022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啤酒博物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馆</w:t>
            </w:r>
          </w:p>
        </w:tc>
        <w:tc>
          <w:tcPr>
            <w:tcW w:w="1666" w:type="dxa"/>
            <w:vAlign w:val="center"/>
          </w:tcPr>
          <w:p>
            <w:pPr>
              <w:spacing w:before="26" w:line="131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26"/>
                <w:position w:val="1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2A2F35"/>
                <w:spacing w:val="125"/>
                <w:position w:val="1"/>
                <w:sz w:val="21"/>
                <w:szCs w:val="21"/>
              </w:rPr>
              <w:t>—</w:t>
            </w:r>
          </w:p>
        </w:tc>
        <w:tc>
          <w:tcPr>
            <w:tcW w:w="1858" w:type="dxa"/>
            <w:vAlign w:val="center"/>
          </w:tcPr>
          <w:p>
            <w:pPr>
              <w:spacing w:before="172" w:line="229" w:lineRule="auto"/>
              <w:ind w:left="14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9"/>
                <w:sz w:val="21"/>
                <w:szCs w:val="21"/>
              </w:rPr>
              <w:t>莆</w:t>
            </w: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田维也纳国际</w:t>
            </w:r>
          </w:p>
          <w:p>
            <w:pPr>
              <w:spacing w:before="193" w:line="439" w:lineRule="exact"/>
              <w:ind w:left="14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0"/>
                <w:position w:val="17"/>
                <w:sz w:val="21"/>
                <w:szCs w:val="21"/>
              </w:rPr>
              <w:t>酒</w:t>
            </w:r>
            <w:r>
              <w:rPr>
                <w:rFonts w:hint="eastAsia" w:ascii="仿宋" w:hAnsi="仿宋" w:eastAsia="仿宋" w:cs="仿宋"/>
                <w:color w:val="2A2F35"/>
                <w:spacing w:val="5"/>
                <w:position w:val="17"/>
                <w:sz w:val="21"/>
                <w:szCs w:val="21"/>
              </w:rPr>
              <w:t>店 (明珠店)</w:t>
            </w:r>
          </w:p>
          <w:p>
            <w:pPr>
              <w:spacing w:line="230" w:lineRule="auto"/>
              <w:ind w:left="56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820" w:type="dxa"/>
            <w:vAlign w:val="center"/>
          </w:tcPr>
          <w:p>
            <w:pPr>
              <w:spacing w:before="65" w:line="19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07.0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9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4"/>
                <w:sz w:val="21"/>
                <w:szCs w:val="21"/>
              </w:rPr>
              <w:t>上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岛</w:t>
            </w:r>
          </w:p>
        </w:tc>
        <w:tc>
          <w:tcPr>
            <w:tcW w:w="2022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湄洲岛</w:t>
            </w:r>
          </w:p>
        </w:tc>
        <w:tc>
          <w:tcPr>
            <w:tcW w:w="1666" w:type="dxa"/>
            <w:vAlign w:val="center"/>
          </w:tcPr>
          <w:p>
            <w:pPr>
              <w:spacing w:before="26" w:line="131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26"/>
                <w:position w:val="1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2A2F35"/>
                <w:spacing w:val="125"/>
                <w:position w:val="1"/>
                <w:sz w:val="21"/>
                <w:szCs w:val="21"/>
              </w:rPr>
              <w:t>—</w:t>
            </w:r>
          </w:p>
        </w:tc>
        <w:tc>
          <w:tcPr>
            <w:tcW w:w="1858" w:type="dxa"/>
            <w:vAlign w:val="center"/>
          </w:tcPr>
          <w:p>
            <w:pPr>
              <w:spacing w:before="172" w:line="228" w:lineRule="auto"/>
              <w:ind w:left="14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1"/>
                <w:sz w:val="21"/>
                <w:szCs w:val="21"/>
              </w:rPr>
              <w:t>泉</w:t>
            </w: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州晋江温德姆</w:t>
            </w:r>
          </w:p>
          <w:p>
            <w:pPr>
              <w:spacing w:before="19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酒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店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20" w:type="dxa"/>
            <w:vAlign w:val="center"/>
          </w:tcPr>
          <w:p>
            <w:pPr>
              <w:spacing w:before="65" w:line="19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07.1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0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before="65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7"/>
                <w:sz w:val="21"/>
                <w:szCs w:val="21"/>
              </w:rPr>
              <w:t>洛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阳桥</w:t>
            </w:r>
          </w:p>
        </w:tc>
        <w:tc>
          <w:tcPr>
            <w:tcW w:w="2022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崇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武古城</w:t>
            </w:r>
          </w:p>
        </w:tc>
        <w:tc>
          <w:tcPr>
            <w:tcW w:w="1666" w:type="dxa"/>
            <w:vAlign w:val="center"/>
          </w:tcPr>
          <w:p>
            <w:pPr>
              <w:spacing w:before="26" w:line="132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26"/>
                <w:position w:val="1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2A2F35"/>
                <w:spacing w:val="125"/>
                <w:position w:val="1"/>
                <w:sz w:val="21"/>
                <w:szCs w:val="21"/>
              </w:rPr>
              <w:t>—</w:t>
            </w:r>
          </w:p>
        </w:tc>
        <w:tc>
          <w:tcPr>
            <w:tcW w:w="1858" w:type="dxa"/>
            <w:vAlign w:val="center"/>
          </w:tcPr>
          <w:p>
            <w:pPr>
              <w:spacing w:before="175" w:line="228" w:lineRule="auto"/>
              <w:ind w:left="14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1"/>
                <w:sz w:val="21"/>
                <w:szCs w:val="21"/>
              </w:rPr>
              <w:t>泉</w:t>
            </w: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州晋江温德姆</w:t>
            </w:r>
          </w:p>
          <w:p>
            <w:pPr>
              <w:spacing w:before="192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酒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店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20" w:type="dxa"/>
            <w:vAlign w:val="center"/>
          </w:tcPr>
          <w:p>
            <w:pPr>
              <w:spacing w:before="65" w:line="19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07.1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1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7"/>
                <w:sz w:val="21"/>
                <w:szCs w:val="21"/>
              </w:rPr>
              <w:t>蟳埔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村</w:t>
            </w:r>
          </w:p>
        </w:tc>
        <w:tc>
          <w:tcPr>
            <w:tcW w:w="2022" w:type="dxa"/>
            <w:vAlign w:val="center"/>
          </w:tcPr>
          <w:p>
            <w:pPr>
              <w:spacing w:before="65" w:line="442" w:lineRule="exact"/>
              <w:jc w:val="center"/>
              <w:rPr>
                <w:rFonts w:hint="eastAsia" w:ascii="仿宋" w:hAnsi="仿宋" w:eastAsia="仿宋" w:cs="仿宋"/>
                <w:color w:val="2A2F35"/>
                <w:spacing w:val="6"/>
                <w:position w:val="18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7"/>
                <w:position w:val="18"/>
                <w:sz w:val="21"/>
                <w:szCs w:val="21"/>
              </w:rPr>
              <w:t>开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position w:val="18"/>
                <w:sz w:val="21"/>
                <w:szCs w:val="21"/>
              </w:rPr>
              <w:t>元寺</w:t>
            </w:r>
          </w:p>
          <w:p>
            <w:pPr>
              <w:spacing w:before="65" w:line="442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5"/>
                <w:sz w:val="21"/>
                <w:szCs w:val="21"/>
              </w:rPr>
              <w:t>小西街</w:t>
            </w:r>
          </w:p>
        </w:tc>
        <w:tc>
          <w:tcPr>
            <w:tcW w:w="1666" w:type="dxa"/>
            <w:vAlign w:val="center"/>
          </w:tcPr>
          <w:p>
            <w:pPr>
              <w:spacing w:before="26" w:line="132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26"/>
                <w:position w:val="1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2A2F35"/>
                <w:spacing w:val="125"/>
                <w:position w:val="1"/>
                <w:sz w:val="21"/>
                <w:szCs w:val="21"/>
              </w:rPr>
              <w:t>—</w:t>
            </w:r>
          </w:p>
        </w:tc>
        <w:tc>
          <w:tcPr>
            <w:tcW w:w="1858" w:type="dxa"/>
            <w:vAlign w:val="center"/>
          </w:tcPr>
          <w:p>
            <w:pPr>
              <w:spacing w:before="175" w:line="228" w:lineRule="auto"/>
              <w:ind w:left="14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1"/>
                <w:sz w:val="21"/>
                <w:szCs w:val="21"/>
              </w:rPr>
              <w:t>泉</w:t>
            </w: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州晋江温德姆</w:t>
            </w:r>
          </w:p>
          <w:p>
            <w:pPr>
              <w:spacing w:before="192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酒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店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20" w:type="dxa"/>
            <w:vAlign w:val="center"/>
          </w:tcPr>
          <w:p>
            <w:pPr>
              <w:spacing w:before="65" w:line="19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07.1</w:t>
            </w:r>
            <w:r>
              <w:rPr>
                <w:rFonts w:hint="eastAsia" w:ascii="仿宋" w:hAnsi="仿宋" w:eastAsia="仿宋" w:cs="仿宋"/>
                <w:color w:val="2A2F35"/>
                <w:spacing w:val="2"/>
                <w:sz w:val="21"/>
                <w:szCs w:val="21"/>
              </w:rPr>
              <w:t>2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before="65" w:line="265" w:lineRule="auto"/>
              <w:ind w:right="27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泉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州非物质文化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遗产馆</w:t>
            </w:r>
          </w:p>
        </w:tc>
        <w:tc>
          <w:tcPr>
            <w:tcW w:w="2022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9"/>
                <w:sz w:val="21"/>
                <w:szCs w:val="21"/>
              </w:rPr>
              <w:t>泉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州-学校</w:t>
            </w:r>
          </w:p>
        </w:tc>
        <w:tc>
          <w:tcPr>
            <w:tcW w:w="1666" w:type="dxa"/>
            <w:vAlign w:val="center"/>
          </w:tcPr>
          <w:p>
            <w:pPr>
              <w:spacing w:before="26" w:line="132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26"/>
                <w:position w:val="1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2A2F35"/>
                <w:spacing w:val="125"/>
                <w:position w:val="1"/>
                <w:sz w:val="21"/>
                <w:szCs w:val="21"/>
              </w:rPr>
              <w:t>—</w:t>
            </w:r>
          </w:p>
        </w:tc>
        <w:tc>
          <w:tcPr>
            <w:tcW w:w="1858" w:type="dxa"/>
            <w:vAlign w:val="center"/>
          </w:tcPr>
          <w:p>
            <w:pPr>
              <w:spacing w:before="26" w:line="132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126"/>
                <w:position w:val="1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2A2F35"/>
                <w:spacing w:val="125"/>
                <w:position w:val="1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spacing w:before="101" w:line="189" w:lineRule="auto"/>
              <w:ind w:left="319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2A2F35"/>
                <w:spacing w:val="5"/>
                <w:sz w:val="21"/>
                <w:szCs w:val="21"/>
              </w:rPr>
              <w:t>024 疗休养内容要求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8387" w:type="dxa"/>
            <w:gridSpan w:val="6"/>
            <w:vAlign w:val="center"/>
          </w:tcPr>
          <w:p>
            <w:pPr>
              <w:spacing w:before="125" w:line="233" w:lineRule="auto"/>
              <w:ind w:left="13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1.省内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疗休养路线优先考虑：山区 26 县、海岛县；</w:t>
            </w:r>
          </w:p>
          <w:p>
            <w:pPr>
              <w:spacing w:before="20" w:line="251" w:lineRule="auto"/>
              <w:ind w:left="326" w:right="110" w:hanging="20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9"/>
                <w:sz w:val="21"/>
                <w:szCs w:val="21"/>
              </w:rPr>
              <w:t>2.强化政治引领，疗休养要与主题教育活动相结合，疗休养期间至少开展一次循迹溯源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活</w:t>
            </w:r>
            <w:r>
              <w:rPr>
                <w:rFonts w:hint="eastAsia" w:ascii="仿宋" w:hAnsi="仿宋" w:eastAsia="仿宋" w:cs="仿宋"/>
                <w:color w:val="2A2F3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A2F35"/>
                <w:spacing w:val="16"/>
                <w:sz w:val="21"/>
                <w:szCs w:val="21"/>
              </w:rPr>
              <w:t>动</w:t>
            </w:r>
            <w:r>
              <w:rPr>
                <w:rFonts w:hint="eastAsia" w:ascii="仿宋" w:hAnsi="仿宋" w:eastAsia="仿宋" w:cs="仿宋"/>
                <w:color w:val="2A2F35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(各类教育基地、博物馆、纪念馆、文化空间等) ；</w:t>
            </w:r>
          </w:p>
          <w:p>
            <w:pPr>
              <w:spacing w:before="2" w:line="251" w:lineRule="auto"/>
              <w:ind w:left="331" w:right="110" w:hanging="21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9"/>
                <w:sz w:val="21"/>
                <w:szCs w:val="21"/>
              </w:rPr>
              <w:t>3.促进协作交流，疗休养要与产教融合、校企合作、对口合作、助力共同富裕等相结合</w:t>
            </w:r>
            <w:r>
              <w:rPr>
                <w:rFonts w:hint="eastAsia" w:ascii="仿宋" w:hAnsi="仿宋" w:eastAsia="仿宋" w:cs="仿宋"/>
                <w:color w:val="2A2F35"/>
                <w:spacing w:val="1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2A2F3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A2F35"/>
                <w:spacing w:val="9"/>
                <w:sz w:val="21"/>
                <w:szCs w:val="21"/>
              </w:rPr>
              <w:t>团队负责人要提前了解疗休养目的地与学校开展合作帮扶情况，在疗休养行程中安排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一</w:t>
            </w:r>
            <w:r>
              <w:rPr>
                <w:rFonts w:hint="eastAsia" w:ascii="仿宋" w:hAnsi="仿宋" w:eastAsia="仿宋" w:cs="仿宋"/>
                <w:color w:val="2A2F3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A2F35"/>
                <w:spacing w:val="16"/>
                <w:sz w:val="21"/>
                <w:szCs w:val="21"/>
              </w:rPr>
              <w:t>次</w:t>
            </w:r>
            <w:r>
              <w:rPr>
                <w:rFonts w:hint="eastAsia" w:ascii="仿宋" w:hAnsi="仿宋" w:eastAsia="仿宋" w:cs="仿宋"/>
                <w:color w:val="2A2F35"/>
                <w:spacing w:val="11"/>
                <w:sz w:val="21"/>
                <w:szCs w:val="21"/>
              </w:rPr>
              <w:t>对</w:t>
            </w:r>
            <w:r>
              <w:rPr>
                <w:rFonts w:hint="eastAsia" w:ascii="仿宋" w:hAnsi="仿宋" w:eastAsia="仿宋" w:cs="仿宋"/>
                <w:color w:val="2A2F35"/>
                <w:spacing w:val="8"/>
                <w:sz w:val="21"/>
                <w:szCs w:val="21"/>
              </w:rPr>
              <w:t>口合作、对口帮扶或对口交流活动；</w:t>
            </w:r>
          </w:p>
          <w:p>
            <w:pPr>
              <w:spacing w:before="2" w:line="264" w:lineRule="auto"/>
              <w:ind w:left="333" w:right="110" w:hanging="21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A2F35"/>
                <w:spacing w:val="9"/>
                <w:sz w:val="21"/>
                <w:szCs w:val="21"/>
              </w:rPr>
              <w:t>4.坚持疗休养服务教工身心健康的初衷，严格控制景点参观数量，每个疗休养团队参观</w:t>
            </w:r>
            <w:r>
              <w:rPr>
                <w:rFonts w:hint="eastAsia" w:ascii="仿宋" w:hAnsi="仿宋" w:eastAsia="仿宋" w:cs="仿宋"/>
                <w:color w:val="2A2F35"/>
                <w:spacing w:val="6"/>
                <w:sz w:val="21"/>
                <w:szCs w:val="21"/>
              </w:rPr>
              <w:t>景</w:t>
            </w:r>
            <w:r>
              <w:rPr>
                <w:rFonts w:hint="eastAsia" w:ascii="仿宋" w:hAnsi="仿宋" w:eastAsia="仿宋" w:cs="仿宋"/>
                <w:color w:val="2A2F3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A2F35"/>
                <w:spacing w:val="5"/>
                <w:sz w:val="21"/>
                <w:szCs w:val="21"/>
              </w:rPr>
              <w:t>点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 xml:space="preserve">数量不多于 </w:t>
            </w:r>
            <w:r>
              <w:rPr>
                <w:rFonts w:hint="eastAsia" w:ascii="仿宋" w:hAnsi="仿宋" w:eastAsia="仿宋" w:cs="仿宋"/>
                <w:color w:val="FF0000"/>
                <w:spacing w:val="3"/>
                <w:sz w:val="21"/>
                <w:szCs w:val="21"/>
              </w:rPr>
              <w:t xml:space="preserve">4 个 </w:t>
            </w:r>
            <w:r>
              <w:rPr>
                <w:rFonts w:hint="eastAsia" w:ascii="仿宋" w:hAnsi="仿宋" w:eastAsia="仿宋" w:cs="仿宋"/>
                <w:color w:val="2A2F35"/>
                <w:spacing w:val="3"/>
                <w:sz w:val="21"/>
                <w:szCs w:val="21"/>
              </w:rPr>
              <w:t>(不包括循迹溯源活动) 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线路编号：2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A2F35"/>
          <w:spacing w:val="0"/>
          <w:sz w:val="32"/>
          <w:szCs w:val="32"/>
          <w:lang w:val="en-US" w:eastAsia="zh-CN"/>
        </w:rPr>
        <w:t>填报单位：浙江省中国旅行社集团有限公司</w:t>
      </w:r>
    </w:p>
    <w:tbl>
      <w:tblPr>
        <w:tblStyle w:val="6"/>
        <w:tblW w:w="83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53"/>
        <w:gridCol w:w="1068"/>
        <w:gridCol w:w="2022"/>
        <w:gridCol w:w="1666"/>
        <w:gridCol w:w="1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省外：四川成都稻城亚丁 7 日疗养</w:t>
            </w:r>
            <w:r>
              <w:rPr>
                <w:rFonts w:hint="eastAsia" w:ascii="仿宋" w:hAnsi="仿宋" w:cs="仿宋"/>
                <w:color w:val="2A2F35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2A2F35"/>
                <w:spacing w:val="2"/>
                <w:sz w:val="21"/>
                <w:szCs w:val="21"/>
                <w:lang w:val="en-US" w:eastAsia="zh-CN"/>
              </w:rPr>
              <w:t>余房：20双标间</w:t>
            </w:r>
            <w:r>
              <w:rPr>
                <w:rFonts w:hint="eastAsia" w:ascii="仿宋" w:hAnsi="仿宋" w:cs="仿宋"/>
                <w:color w:val="2A2F35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疗休养时间段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第一批：2024 年 7 月 15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-21 日 (周一→周日)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第二批：2024 年 7 月 2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日-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 (周一→周日)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第三批：2024 年 7 月 29 日-8 月 4 日 (周一→周日)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疗休养日程安排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07.08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学校→成都→康定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泸定铁索桥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康定希誉酒店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07.09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塔公草原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墨石公园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雅江嘉融大酒店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07.10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沿途风光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海子山自然保护区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稻城时代亚丁大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07.11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冲古寺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洛绒牛场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牛奶海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稻城时代亚丁大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07.12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沿途风光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勒通古镇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长青春科尔寺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新都桥畅游星宸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酒店或同级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07.13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木格措景区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沿途风光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成都安得天馨酒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店或同级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07.14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大熊猫基地</w:t>
            </w:r>
          </w:p>
        </w:tc>
        <w:tc>
          <w:tcPr>
            <w:tcW w:w="2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成都-学校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参考价格：地接成人：4980 元/人 (不含往返机票)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往返机票参考：成人：3000 元/人左右 (以实际申请为准)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87" w:type="dxa"/>
            <w:gridSpan w:val="6"/>
            <w:shd w:val="clear" w:color="auto" w:fill="D7D7D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2024 疗休养内容要求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838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1.省内疗休养路线优先考虑：山区 26 县、海岛县；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2.强化政治引领，疗休养要与主题教育活动相结合，疗休养期间至少开展一次循迹溯源活 动 (各类教育基地、博物馆、纪念馆、文化空间等) 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3.促进协作交流，疗休养要与产教融合、校企合作、对口合作、助力共同富裕等相结合， 团队负责人要提前了解疗休养目的地与学校开展合作帮扶情况，在疗休养行程中安排一 次对口合作、对口帮扶或对口交流活动；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F35"/>
                <w:spacing w:val="0"/>
                <w:sz w:val="21"/>
                <w:szCs w:val="21"/>
                <w:vertAlign w:val="baseline"/>
                <w:lang w:val="en-US" w:eastAsia="zh-CN"/>
              </w:rPr>
              <w:t>4.坚持疗休养服务教工身心健康的初衷，严格控制景点参观数量，每个疗休养团队参观景 点数量不多于 4 个 (不包括循迹溯源活动) 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WQ4Zjc4MDc0NTE5MGU1YzlmNzAzNTU0ZDc5ZjUifQ=="/>
    <w:docVar w:name="KSO_WPS_MARK_KEY" w:val="5677f36b-70ad-4410-bb7a-96c6675ffd48"/>
  </w:docVars>
  <w:rsids>
    <w:rsidRoot w:val="21FC3E97"/>
    <w:rsid w:val="048323FC"/>
    <w:rsid w:val="062C05B7"/>
    <w:rsid w:val="13E70E40"/>
    <w:rsid w:val="16F73621"/>
    <w:rsid w:val="21FC3E97"/>
    <w:rsid w:val="2AB14158"/>
    <w:rsid w:val="347B49E3"/>
    <w:rsid w:val="46A65EE1"/>
    <w:rsid w:val="53F22D25"/>
    <w:rsid w:val="62FB2536"/>
    <w:rsid w:val="7A15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5421</Words>
  <Characters>6133</Characters>
  <Lines>0</Lines>
  <Paragraphs>0</Paragraphs>
  <TotalTime>3</TotalTime>
  <ScaleCrop>false</ScaleCrop>
  <LinksUpToDate>false</LinksUpToDate>
  <CharactersWithSpaces>6471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2024-05-23T04:17:00Z</dcterms:created>
  <dc:creator>王冰雅</dc:creator>
  <cp:lastModifiedBy>沫</cp:lastModifiedBy>
  <dcterms:modified xsi:type="dcterms:W3CDTF">2024-05-31T08:31:28Z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423D1585AF0A49B1A04B24EF0E05706C_11</vt:lpwstr>
  </property>
</Properties>
</file>